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62.png" ContentType="image/png"/>
  <Override PartName="/word/media/rId66.png" ContentType="image/png"/>
  <Override PartName="/word/media/rId70.png" ContentType="image/png"/>
  <Override PartName="/word/media/rId7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scherzerthesis/thesis@5c8aea3</w:t>
        </w:r>
      </w:hyperlink>
      <w:r>
        <w:t xml:space="preserve"> </w:t>
      </w:r>
      <w:r>
        <w:t xml:space="preserve">on March 18,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p>
    <w:p>
      <w:pPr>
        <w:pStyle w:val="BodyText"/>
      </w:pP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 in cancer</w:t>
      </w:r>
    </w:p>
    <w:p>
      <w:pPr>
        <w:pStyle w:val="BodyText"/>
      </w:pP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rPr>
          <w:bCs/>
          <w:b/>
        </w:rPr>
        <w:t xml:space="preserve">BRAF (V600E) signaling and cooperating genetic events to LUAD initiation and progression</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 Expression of BRAF (V600E) in the Surfactant-Protein C expression cells (alveolar type 2 pneumocytes) elicits benign tumor formation that fail to progress to malignant lung adenocarcinoma. It is hypothesized that the cell cycle arrest is dependent on the tumor suppressors P53, and CDKN2A, as loss of either P53 or CDKN2A allows tumors to progress to malignant and deadly lung adenocarcinoma. Also, activation of WNT signaling and PI3K signaling similarly allows BRAF (V600E) adenomas to progress to adenocarcinoma. These observations are in concordance to the "multiple-hit" hypothesis. This hypothesis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 The traits include suppression of apoptosis, active proliferation, altered metabolism, changes in cell identity, and forming blood-vessels</w:t>
      </w:r>
      <w:r>
        <w:t xml:space="preserve"> </w:t>
      </w:r>
      <w:r>
        <w:t xml:space="preserve">(Hanahan, 2022)</w:t>
      </w:r>
      <w:r>
        <w:t xml:space="preserve">. BRAF(V600E) expression alone is sufficient to activate many of the hallmarks of cancer and additional pathways need to be activated to form deadly metastasis.</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 engineered mouse models (GEMMs)</w:t>
      </w:r>
    </w:p>
    <w:p>
      <w:pPr>
        <w:pStyle w:val="BodyText"/>
      </w:pPr>
      <w:r>
        <w:t xml:space="preserve">Genetically-Engineered mouse models (GEMMs) of human cancer have allowed for the reproducible analysis of cancer biology driven by specific mutations that are often found in cancer patients. These models are useful for understanding the molecular mechanisms that drive tumor formation but also serve as a platform for testing tumor responses to targeted- or immune- therapies. Early mouse models utilized either the inherent tumor susceptibility of inbred strains of mice, such as FVB , or carcinogen-induced models such as UV, Urethane, or DMBA treatment. With the ability to genetically manipulate embryonic stem-cells (ES cells) came the development of mice with mutations engineered to spontaneously form neoplasms without the need for carcinogen treatments. Genetic knockouts or over-expression can lead to embryonic lethality depending upon the specific role of the manipulated gene, therefore conditional gene manipulation was developed to allow for temporal control thus overcoming the issues with embryonic lethality or other developmental defects.</w:t>
      </w:r>
    </w:p>
    <w:p>
      <w:pPr>
        <w:pStyle w:val="BodyText"/>
      </w:pPr>
      <w:r>
        <w:t xml:space="preserve">The most common conditional system relies on chemically inducible transcription factors, such as tetracycline-dependent regulatory system to relies on the inoculation of tetracycline into the body to bind to a tetracycline-trans-activator to turn on gene expression.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turn on gene transcription by flanking a strong stop signal such as a polyadenylation sequence upstream of a gene-of-interest sequence such as KRAS G12D.</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Our lab has previously developed a conditional mouse model of BRAF (V600E) human lung cancers.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p>
    <w:p>
      <w:pPr>
        <w:pStyle w:val="BodyText"/>
      </w:pPr>
      <w:r>
        <w:t xml:space="preserve">In biology, there are highly conserved pathways that control a bewildering amount of cellular processes that are both dependent and independent of each other, such as NOTCH- or WNT- signaling. The same could be said about P53.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mice, that have just one mutated copy of P53. In humans with the familial- inherited Li-Fraumeni syndrome, in which they have one or more mutations in p53 are almost certain to develop cancer early on and throughout their life. Similarly, mice lacking two function P53 genes are prone to leukemias and lymphomas and have a shortened lifespan due to cancer incidence.</w:t>
      </w:r>
    </w:p>
    <w:p>
      <w:pPr>
        <w:pStyle w:val="BodyText"/>
      </w:pPr>
      <w:r>
        <w:t xml:space="preserve">The most well-known cellular functions of P53 include its ability to induce cell-cycle arrest in response to DNA damage. Many stress signals, including oncogene activation has been shown to stimulate a reversible or irreversible cell cycle arrest. However, the strength of P53 induced cell cycle arrest or apoptosis is likely cell type- and cellular stress- specific.</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many human tumors which is not common in normal tissues. Moreover, ectopic expression of a P53 cDNA was found to aide in the transformation of primary cells induced by RAS. However, early studies erroneously used mutated P53 instead of wild-type leading to the misclassification of P53 as an oncogene. We known know P53 suppresses cell growth and transformation.</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chapter-two"/>
    <w:p>
      <w:pPr>
        <w:pStyle w:val="Heading2"/>
      </w:pPr>
      <w:r>
        <w:t xml:space="preserve">Chapter Two</w:t>
      </w:r>
    </w:p>
    <w:bookmarkEnd w:id="36"/>
    <w:bookmarkStart w:id="37" w:name="introduction"/>
    <w:p>
      <w:pPr>
        <w:pStyle w:val="Heading1"/>
      </w:pPr>
      <w:r>
        <w:t xml:space="preserve">Introduction</w:t>
      </w:r>
    </w:p>
    <w:p>
      <w:pPr>
        <w:pStyle w:val="FirstParagraph"/>
      </w:pPr>
      <w:r>
        <w:rPr>
          <w:bCs/>
          <w:b/>
        </w:rPr>
        <w:t xml:space="preserve">Quantitative tumor burden and small library screen using TUBA-SEQ</w:t>
      </w:r>
    </w:p>
    <w:p>
      <w:pPr>
        <w:pStyle w:val="BodyText"/>
      </w:pPr>
      <w:r>
        <w:t xml:space="preserve">Genetic sequencing has allowed for the unbiased identification of genes that are mutated in human cancer. The wealth of knowledge gained from such large-scale sequencing endeavors has revealed actionable mutations that can be targeted with small molecules. However,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w:t>
      </w:r>
    </w:p>
    <w:p>
      <w:pPr>
        <w:pStyle w:val="BodyText"/>
      </w:pPr>
      <w:r>
        <w:t xml:space="preserve">Recently, Monte Winslow and his lab at Stanford University has developed</w:t>
      </w:r>
      <w:r>
        <w:t xml:space="preserve"> </w:t>
      </w:r>
      <w:r>
        <w:rPr>
          <w:bCs/>
          <w:b/>
        </w:rPr>
        <w:t xml:space="preserve">Tu</w:t>
      </w:r>
      <w:r>
        <w:t xml:space="preserve"> </w:t>
      </w:r>
      <w:r>
        <w:t xml:space="preserve">mor-</w:t>
      </w:r>
      <w:r>
        <w:t xml:space="preserve"> </w:t>
      </w:r>
      <w:r>
        <w:rPr>
          <w:bCs/>
          <w:b/>
        </w:rPr>
        <w:t xml:space="preserve">Ba</w:t>
      </w:r>
      <w:r>
        <w:t xml:space="preserve"> </w:t>
      </w:r>
      <w:r>
        <w:t xml:space="preserve">rcode</w:t>
      </w:r>
      <w:r>
        <w:t xml:space="preserve"> </w:t>
      </w:r>
      <w:r>
        <w:rPr>
          <w:bCs/>
          <w:b/>
        </w:rPr>
        <w:t xml:space="preserve">Seq</w:t>
      </w:r>
      <w:r>
        <w:t xml:space="preserve"> </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will be harvested for whole-lung DNA extraction and targeted DNA-sequencing performed to quantify relative tumor size to spike-in controls. Therefore, contribution of a single tumor suppressor can be quantified in single animal. Here, we explore the contribution of 11 tumor suppressor genes and 5 controls in the context of our BRAF (V600E)- driven lung tumor models.</w:t>
      </w:r>
    </w:p>
    <w:p>
      <w:pPr>
        <w:pStyle w:val="BodyText"/>
      </w:pPr>
      <w:r>
        <w:t xml:space="preserve">The initiation of lung tumors with pools of barcoded Lenti-sgRNA/Cre viral vectors 96 enables the generation of many tumors of different genotypes in parallel. All neoplastic cells 97 within each clonal tumor have the same two-component barcode, in which an sgID region 98 identifies the sgRNA and a random barcode (BC) is unique to each tumor. Thus, high-throughput 99 sequencing of the sgID-BC region from bulk tumor-bearing lungs can quantify the number of 100 neoplastic cells in each tumor of each genotype(28). Previous Tuba-seq studies quantify tumor 101 suppressor effects and their interaction with other tumor suppressor genes, focusing only on 102 comparisons within mice(28-30). Comparisons of tumor distributions across mice are more 103 challenging and required improvements in accuracy as well as new analytical methods. Winslow 2021</w:t>
      </w:r>
    </w:p>
    <w:bookmarkEnd w:id="37"/>
    <w:bookmarkStart w:id="38" w:name="results"/>
    <w:p>
      <w:pPr>
        <w:pStyle w:val="Heading1"/>
      </w:pPr>
      <w:r>
        <w:t xml:space="preserve">Results</w:t>
      </w:r>
    </w:p>
    <w:p>
      <w:pPr>
        <w:pStyle w:val="FirstParagraph"/>
      </w:pPr>
      <w:r>
        <w:rPr>
          <w:bCs/>
          <w:b/>
        </w:rPr>
        <w:t xml:space="preserve">TUBA-SEQ to uncover the contribution of tumor suppressor loss on BRAF (V600E) lung tumors</w:t>
      </w:r>
    </w:p>
    <w:p>
      <w:pPr>
        <w:pStyle w:val="BodyText"/>
      </w:pPr>
      <w:r>
        <w:t xml:space="preserve">Oncogenic BRAF (V600E) is a major driver in lung adenocarcinoma. However, mouse models with activation of BRAF (V600E) only lead to benign tumorigenesis (cite).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 (V600E) benign lung tumors to progress to malignant disease, we wanted to systematically test a variety of known tumor suppressors in lung adenocarcinoma. Furthermore, we do not know the size of BRAF(V600E) adenomas. Prior to TUBA-SEQ, it was very difficult to accurately determine the size of BRAF(V600E) adenomas. Based on population doublings, as well as cross sections of BRAF (V600E) tumors in histological sections, it is estimated that BRAF(V600E)-driven lung adenomas grow about 15-20 populations doublings and reaching a size of 1mm3. (cite) With TUBA-SEQ, we can more accurately discern the absolute size of BRAF(V600E) lung adenomas in almost every tumor in all animal subjects. Given the theory that BRAF-(V600) 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In determine the size of BRAF (V600E) tumors and the contribution of 11 tumor suppressor genes (</w:t>
      </w:r>
      <w:r>
        <w:rPr>
          <w:iCs/>
          <w:i/>
        </w:rPr>
        <w:t xml:space="preserve">Trp53, Rb1, Cdkn2a, Apc, Rbm10, Stk11, Setd2, Arid1a, Atm, Keap1, Smad4)</w:t>
      </w:r>
      <w:r>
        <w:t xml:space="preserve"> </w:t>
      </w:r>
      <w:r>
        <w:t xml:space="preserve">on BRAF (V600E) lung tumorigenesis, we obtained tittered barcoded-lentiviral plasmids that encode Cre-recombinase as well as a sgRNA that inactivates one of eleven tumor suppressors common in lung adenocarcinoma. All genes tested putative tumor suppressor genes commonly identified as lost in human lung cancer patients. Each lentiviral solution contained ~1000 individually barcoded lentiviruses. We infected both</w:t>
      </w:r>
      <w:r>
        <w:t xml:space="preserve"> </w:t>
      </w:r>
      <w:r>
        <w:rPr>
          <w:iCs/>
          <w:i/>
        </w:rPr>
        <w:t xml:space="preserve">LSL-Cas9</w:t>
      </w:r>
      <w:r>
        <w:t xml:space="preserve"> </w:t>
      </w:r>
      <w:r>
        <w:t xml:space="preserve">and _CAS9-_deficient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and sequencing libraries were generated and sequenced. Before genomic extraction and library preparation, a known quantity of known-barcoded cells was added in order to benchmark sequencing reads to a known cell number.</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 (V600E) 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SETD2 loss was trending towards statistical significance. However, 16 weeks post initiation revealed both SETD2 loss and APC loss cooperated with BRAF (V600E) to form larger, more malignant tumors. APC loss was a suspected hit as we have previously shown that activation of Wnt-beta-catenin signaling promoted BRAF(V600E) tumorigenesis. As APC loss is predicted to increase the activity of Beta-catenin signaling, this result was unsurprising to us. However, loss of SETD2 was a novel finding in the context of BRAF (V600E) lung tumorigenesis.</w:t>
      </w:r>
    </w:p>
    <w:p>
      <w:pPr>
        <w:pStyle w:val="BodyText"/>
      </w:pPr>
      <w:r>
        <w:t xml:space="preserve">Given our findings of SETD2 loss increased tumor burden concurrent with BRAF(V600E) 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 (V600E) only tumors were H3K36me3, more than 60% tumors of mice infected with SETD2 CRISPR virus were negative for H3K36me3. Furthermore, when classified by H3K36me3-positive or -negative, there is even stronger evidence that SETD2 loss leads to larger tumor formation</w:t>
      </w:r>
    </w:p>
    <w:bookmarkEnd w:id="38"/>
    <w:bookmarkStart w:id="204" w:name="discussion"/>
    <w:p>
      <w:pPr>
        <w:pStyle w:val="Heading1"/>
      </w:pPr>
      <w:r>
        <w:t xml:space="preserve">Discussion</w:t>
      </w:r>
    </w:p>
    <w:bookmarkStart w:id="0" w:name="fig:04"/>
    <w:p>
      <w:pPr>
        <w:pStyle w:val="CaptionedFigure"/>
      </w:pPr>
      <w:bookmarkStart w:id="42" w:name="fig:04"/>
      <w:r>
        <w:drawing>
          <wp:inline>
            <wp:extent cx="4721851" cy="7003264"/>
            <wp:effectExtent b="0" l="0" r="0" t="0"/>
            <wp:docPr descr="Figure 1: This is the title of Figure this is the text." title="" id="40" name="Picture"/>
            <a:graphic>
              <a:graphicData uri="http://schemas.openxmlformats.org/drawingml/2006/picture">
                <pic:pic>
                  <pic:nvPicPr>
                    <pic:cNvPr descr="images/tuba1.png" id="41" name="Picture"/>
                    <pic:cNvPicPr>
                      <a:picLocks noChangeArrowheads="1" noChangeAspect="1"/>
                    </pic:cNvPicPr>
                  </pic:nvPicPr>
                  <pic:blipFill>
                    <a:blip r:embed="rId39"/>
                    <a:stretch>
                      <a:fillRect/>
                    </a:stretch>
                  </pic:blipFill>
                  <pic:spPr bwMode="auto">
                    <a:xfrm>
                      <a:off x="0" y="0"/>
                      <a:ext cx="4721851" cy="7003264"/>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This is the title of Figure</w:t>
      </w:r>
      <w:r>
        <w:t xml:space="preserve"> </w:t>
      </w:r>
      <w:r>
        <w:t xml:space="preserve">this is the text.</w:t>
      </w:r>
    </w:p>
    <w:bookmarkEnd w:id="0"/>
    <w:bookmarkStart w:id="0" w:name="fig:05"/>
    <w:p>
      <w:pPr>
        <w:pStyle w:val="CaptionedFigure"/>
      </w:pPr>
      <w:bookmarkStart w:id="46" w:name="fig:05"/>
      <w:r>
        <w:drawing>
          <wp:inline>
            <wp:extent cx="2886935" cy="6183668"/>
            <wp:effectExtent b="0" l="0" r="0" t="0"/>
            <wp:docPr descr="Figure 2: This is the title of Figure this is the text." title="" id="44" name="Picture"/>
            <a:graphic>
              <a:graphicData uri="http://schemas.openxmlformats.org/drawingml/2006/picture">
                <pic:pic>
                  <pic:nvPicPr>
                    <pic:cNvPr descr="images/tuba2.png" id="45" name="Picture"/>
                    <pic:cNvPicPr>
                      <a:picLocks noChangeArrowheads="1" noChangeAspect="1"/>
                    </pic:cNvPicPr>
                  </pic:nvPicPr>
                  <pic:blipFill>
                    <a:blip r:embed="rId43"/>
                    <a:stretch>
                      <a:fillRect/>
                    </a:stretch>
                  </pic:blipFill>
                  <pic:spPr bwMode="auto">
                    <a:xfrm>
                      <a:off x="0" y="0"/>
                      <a:ext cx="2886935" cy="6183668"/>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0" w:name="fig:06"/>
      <w:r>
        <w:drawing>
          <wp:inline>
            <wp:extent cx="4932866" cy="1666715"/>
            <wp:effectExtent b="0" l="0" r="0" t="0"/>
            <wp:docPr descr="Figure 3: This is the title of Figure this is the text." title="" id="48" name="Picture"/>
            <a:graphic>
              <a:graphicData uri="http://schemas.openxmlformats.org/drawingml/2006/picture">
                <pic:pic>
                  <pic:nvPicPr>
                    <pic:cNvPr descr="images/tuba3.png" id="49" name="Picture"/>
                    <pic:cNvPicPr>
                      <a:picLocks noChangeArrowheads="1" noChangeAspect="1"/>
                    </pic:cNvPicPr>
                  </pic:nvPicPr>
                  <pic:blipFill>
                    <a:blip r:embed="rId47"/>
                    <a:stretch>
                      <a:fillRect/>
                    </a:stretch>
                  </pic:blipFill>
                  <pic:spPr bwMode="auto">
                    <a:xfrm>
                      <a:off x="0" y="0"/>
                      <a:ext cx="4932866" cy="166671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This is the title of Figure</w:t>
      </w:r>
      <w:r>
        <w:t xml:space="preserve"> </w:t>
      </w:r>
      <w:r>
        <w:t xml:space="preserve">this is the text.</w:t>
      </w:r>
    </w:p>
    <w:bookmarkEnd w:id="0"/>
    <w:bookmarkStart w:id="0" w:name="fig:07"/>
    <w:p>
      <w:pPr>
        <w:pStyle w:val="CaptionedFigure"/>
      </w:pPr>
      <w:bookmarkStart w:id="54" w:name="fig:07"/>
      <w:r>
        <w:drawing>
          <wp:inline>
            <wp:extent cx="4868644" cy="5562854"/>
            <wp:effectExtent b="0" l="0" r="0" t="0"/>
            <wp:docPr descr="Figure 4: This is the title of Figure this is the text." title="" id="52" name="Picture"/>
            <a:graphic>
              <a:graphicData uri="http://schemas.openxmlformats.org/drawingml/2006/picture">
                <pic:pic>
                  <pic:nvPicPr>
                    <pic:cNvPr descr="images/tuba4.png" id="53" name="Picture"/>
                    <pic:cNvPicPr>
                      <a:picLocks noChangeArrowheads="1" noChangeAspect="1"/>
                    </pic:cNvPicPr>
                  </pic:nvPicPr>
                  <pic:blipFill>
                    <a:blip r:embed="rId51"/>
                    <a:stretch>
                      <a:fillRect/>
                    </a:stretch>
                  </pic:blipFill>
                  <pic:spPr bwMode="auto">
                    <a:xfrm>
                      <a:off x="0" y="0"/>
                      <a:ext cx="4868644" cy="5562854"/>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Start w:id="0" w:name="fig:09"/>
    <w:p>
      <w:pPr>
        <w:pStyle w:val="CaptionedFigure"/>
      </w:pPr>
      <w:bookmarkStart w:id="58" w:name="fig:09"/>
      <w:r>
        <w:drawing>
          <wp:inline>
            <wp:extent cx="5370188" cy="5492516"/>
            <wp:effectExtent b="0" l="0" r="0" t="0"/>
            <wp:docPr descr="Figure 5: This is the title of Figure this is the text." title="" id="56" name="Picture"/>
            <a:graphic>
              <a:graphicData uri="http://schemas.openxmlformats.org/drawingml/2006/picture">
                <pic:pic>
                  <pic:nvPicPr>
                    <pic:cNvPr descr="images/tuba6.png" id="57" name="Picture"/>
                    <pic:cNvPicPr>
                      <a:picLocks noChangeArrowheads="1" noChangeAspect="1"/>
                    </pic:cNvPicPr>
                  </pic:nvPicPr>
                  <pic:blipFill>
                    <a:blip r:embed="rId55"/>
                    <a:stretch>
                      <a:fillRect/>
                    </a:stretch>
                  </pic:blipFill>
                  <pic:spPr bwMode="auto">
                    <a:xfrm>
                      <a:off x="0" y="0"/>
                      <a:ext cx="5370188" cy="5492516"/>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This is the title of Figure</w:t>
      </w:r>
      <w:r>
        <w:t xml:space="preserve"> </w:t>
      </w:r>
      <w:r>
        <w:t xml:space="preserve">this is the text.</w:t>
      </w:r>
    </w:p>
    <w:bookmarkEnd w:id="0"/>
    <w:bookmarkStart w:id="59" w:name="chapter-three"/>
    <w:p>
      <w:pPr>
        <w:pStyle w:val="Heading2"/>
      </w:pPr>
      <w:r>
        <w:t xml:space="preserve">Chapter Three</w:t>
      </w:r>
    </w:p>
    <w:bookmarkEnd w:id="59"/>
    <w:bookmarkStart w:id="60"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0"/>
    <w:bookmarkStart w:id="61"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1"/>
    <w:bookmarkStart w:id="81"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6</w:t>
        </w:r>
      </w:hyperlink>
      <w:r>
        <w:t xml:space="preserve"> </w:t>
      </w:r>
      <w:r>
        <w:t xml:space="preserve">A). As expected, mice developed lung cancer, consistent with previous findings (Figure</w:t>
      </w:r>
      <w:r>
        <w:t xml:space="preserve"> </w:t>
      </w:r>
      <w:hyperlink w:anchor="fig:11">
        <w:r>
          <w:rPr>
            <w:rStyle w:val="Hyperlink"/>
          </w:rPr>
          <w:t xml:space="preserve">6</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6</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6</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6</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6</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7</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7</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7</w:t>
        </w:r>
      </w:hyperlink>
      <w:r>
        <w:t xml:space="preserve"> </w:t>
      </w:r>
      <w:r>
        <w:t xml:space="preserve">C). Indeed, p53 immunostaining is correlated with increased phospho-ERK1/2 detection (Figure</w:t>
      </w:r>
      <w:r>
        <w:t xml:space="preserve"> </w:t>
      </w:r>
      <w:hyperlink w:anchor="fig:12">
        <w:r>
          <w:rPr>
            <w:rStyle w:val="Hyperlink"/>
          </w:rPr>
          <w:t xml:space="preserve">7</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7</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8</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8</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8</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8</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10</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10</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65" w:name="fig:11"/>
      <w:r>
        <w:drawing>
          <wp:inline>
            <wp:extent cx="4706560" cy="7095010"/>
            <wp:effectExtent b="0" l="0" r="0" t="0"/>
            <wp:docPr descr="Figure 6: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3" name="Picture"/>
            <a:graphic>
              <a:graphicData uri="http://schemas.openxmlformats.org/drawingml/2006/picture">
                <pic:pic>
                  <pic:nvPicPr>
                    <pic:cNvPr descr="images/p53_1.png" id="64" name="Picture"/>
                    <pic:cNvPicPr>
                      <a:picLocks noChangeArrowheads="1" noChangeAspect="1"/>
                    </pic:cNvPicPr>
                  </pic:nvPicPr>
                  <pic:blipFill>
                    <a:blip r:embed="rId62"/>
                    <a:stretch>
                      <a:fillRect/>
                    </a:stretch>
                  </pic:blipFill>
                  <pic:spPr bwMode="auto">
                    <a:xfrm>
                      <a:off x="0" y="0"/>
                      <a:ext cx="4706560" cy="7095010"/>
                    </a:xfrm>
                    <a:prstGeom prst="rect">
                      <a:avLst/>
                    </a:prstGeom>
                    <a:noFill/>
                    <a:ln w="9525">
                      <a:noFill/>
                      <a:headEnd/>
                      <a:tailEnd/>
                    </a:ln>
                  </pic:spPr>
                </pic:pic>
              </a:graphicData>
            </a:graphic>
          </wp:inline>
        </w:drawing>
      </w:r>
      <w:bookmarkEnd w:id="65"/>
    </w:p>
    <w:p>
      <w:pPr>
        <w:pStyle w:val="ImageCaption"/>
      </w:pPr>
      <w:r>
        <w:t xml:space="preserve">Figure 6:</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69" w:name="fig:12"/>
      <w:r>
        <w:drawing>
          <wp:inline>
            <wp:extent cx="5070485" cy="6810597"/>
            <wp:effectExtent b="0" l="0" r="0" t="0"/>
            <wp:docPr descr="Figure 7: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67" name="Picture"/>
            <a:graphic>
              <a:graphicData uri="http://schemas.openxmlformats.org/drawingml/2006/picture">
                <pic:pic>
                  <pic:nvPicPr>
                    <pic:cNvPr descr="images/p53_2.png" id="68" name="Picture"/>
                    <pic:cNvPicPr>
                      <a:picLocks noChangeArrowheads="1" noChangeAspect="1"/>
                    </pic:cNvPicPr>
                  </pic:nvPicPr>
                  <pic:blipFill>
                    <a:blip r:embed="rId66"/>
                    <a:stretch>
                      <a:fillRect/>
                    </a:stretch>
                  </pic:blipFill>
                  <pic:spPr bwMode="auto">
                    <a:xfrm>
                      <a:off x="0" y="0"/>
                      <a:ext cx="5070485" cy="6810597"/>
                    </a:xfrm>
                    <a:prstGeom prst="rect">
                      <a:avLst/>
                    </a:prstGeom>
                    <a:noFill/>
                    <a:ln w="9525">
                      <a:noFill/>
                      <a:headEnd/>
                      <a:tailEnd/>
                    </a:ln>
                  </pic:spPr>
                </pic:pic>
              </a:graphicData>
            </a:graphic>
          </wp:inline>
        </w:drawing>
      </w:r>
      <w:bookmarkEnd w:id="69"/>
    </w:p>
    <w:p>
      <w:pPr>
        <w:pStyle w:val="ImageCaption"/>
      </w:pPr>
      <w:r>
        <w:t xml:space="preserve">Figure 7:</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3" w:name="fig:13"/>
      <w:r>
        <w:drawing>
          <wp:inline>
            <wp:extent cx="4269238" cy="8553768"/>
            <wp:effectExtent b="0" l="0" r="0" t="0"/>
            <wp:docPr descr="Figure 8: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1" name="Picture"/>
            <a:graphic>
              <a:graphicData uri="http://schemas.openxmlformats.org/drawingml/2006/picture">
                <pic:pic>
                  <pic:nvPicPr>
                    <pic:cNvPr descr="images/p53_3.png" id="72" name="Picture"/>
                    <pic:cNvPicPr>
                      <a:picLocks noChangeArrowheads="1" noChangeAspect="1"/>
                    </pic:cNvPicPr>
                  </pic:nvPicPr>
                  <pic:blipFill>
                    <a:blip r:embed="rId70"/>
                    <a:stretch>
                      <a:fillRect/>
                    </a:stretch>
                  </pic:blipFill>
                  <pic:spPr bwMode="auto">
                    <a:xfrm>
                      <a:off x="0" y="0"/>
                      <a:ext cx="4269238" cy="8553768"/>
                    </a:xfrm>
                    <a:prstGeom prst="rect">
                      <a:avLst/>
                    </a:prstGeom>
                    <a:noFill/>
                    <a:ln w="9525">
                      <a:noFill/>
                      <a:headEnd/>
                      <a:tailEnd/>
                    </a:ln>
                  </pic:spPr>
                </pic:pic>
              </a:graphicData>
            </a:graphic>
          </wp:inline>
        </w:drawing>
      </w:r>
      <w:bookmarkEnd w:id="73"/>
    </w:p>
    <w:p>
      <w:pPr>
        <w:pStyle w:val="ImageCaption"/>
      </w:pPr>
      <w:r>
        <w:t xml:space="preserve">Figure 8:</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77" w:name="fig:14"/>
      <w:r>
        <w:drawing>
          <wp:inline>
            <wp:extent cx="4544476" cy="5529214"/>
            <wp:effectExtent b="0" l="0" r="0" t="0"/>
            <wp:docPr descr="Figure 9: Mutant-p53 expression cells have distinct transcriptome compared to p53-null cells. (A) Volcano plot of differentially-expressed genes. (B) Upregulated pathways using GSEA with Hallmark gene sets." title="" id="75" name="Picture"/>
            <a:graphic>
              <a:graphicData uri="http://schemas.openxmlformats.org/drawingml/2006/picture">
                <pic:pic>
                  <pic:nvPicPr>
                    <pic:cNvPr descr="images/p53_4.png" id="76" name="Picture"/>
                    <pic:cNvPicPr>
                      <a:picLocks noChangeArrowheads="1" noChangeAspect="1"/>
                    </pic:cNvPicPr>
                  </pic:nvPicPr>
                  <pic:blipFill>
                    <a:blip r:embed="rId74"/>
                    <a:stretch>
                      <a:fillRect/>
                    </a:stretch>
                  </pic:blipFill>
                  <pic:spPr bwMode="auto">
                    <a:xfrm>
                      <a:off x="0" y="0"/>
                      <a:ext cx="4544476" cy="5529214"/>
                    </a:xfrm>
                    <a:prstGeom prst="rect">
                      <a:avLst/>
                    </a:prstGeom>
                    <a:noFill/>
                    <a:ln w="9525">
                      <a:noFill/>
                      <a:headEnd/>
                      <a:tailEnd/>
                    </a:ln>
                  </pic:spPr>
                </pic:pic>
              </a:graphicData>
            </a:graphic>
          </wp:inline>
        </w:drawing>
      </w:r>
      <w:bookmarkEnd w:id="77"/>
    </w:p>
    <w:p>
      <w:pPr>
        <w:pStyle w:val="ImageCaption"/>
      </w:pPr>
      <w:r>
        <w:t xml:space="preserve">Figure 9:</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0"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78" name="Picture"/>
            <a:graphic>
              <a:graphicData uri="http://schemas.openxmlformats.org/drawingml/2006/picture">
                <pic:pic>
                  <pic:nvPicPr>
                    <pic:cNvPr descr="images/p53_4.png" id="79" name="Picture"/>
                    <pic:cNvPicPr>
                      <a:picLocks noChangeArrowheads="1" noChangeAspect="1"/>
                    </pic:cNvPicPr>
                  </pic:nvPicPr>
                  <pic:blipFill>
                    <a:blip r:embed="rId74"/>
                    <a:stretch>
                      <a:fillRect/>
                    </a:stretch>
                  </pic:blipFill>
                  <pic:spPr bwMode="auto">
                    <a:xfrm>
                      <a:off x="0" y="0"/>
                      <a:ext cx="4544476" cy="5529214"/>
                    </a:xfrm>
                    <a:prstGeom prst="rect">
                      <a:avLst/>
                    </a:prstGeom>
                    <a:noFill/>
                    <a:ln w="9525">
                      <a:noFill/>
                      <a:headEnd/>
                      <a:tailEnd/>
                    </a:ln>
                  </pic:spPr>
                </pic:pic>
              </a:graphicData>
            </a:graphic>
          </wp:inline>
        </w:drawing>
      </w:r>
      <w:bookmarkEnd w:id="80"/>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End w:id="81"/>
    <w:bookmarkStart w:id="82"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82"/>
    <w:bookmarkStart w:id="83" w:name="chapter-four"/>
    <w:p>
      <w:pPr>
        <w:pStyle w:val="Heading2"/>
      </w:pPr>
      <w:r>
        <w:t xml:space="preserve">Chapter Four</w:t>
      </w:r>
    </w:p>
    <w:bookmarkEnd w:id="83"/>
    <w:bookmarkStart w:id="203" w:name="references"/>
    <w:p>
      <w:pPr>
        <w:pStyle w:val="Heading2"/>
      </w:pPr>
      <w:r>
        <w:t xml:space="preserve">References</w:t>
      </w:r>
    </w:p>
    <w:bookmarkStart w:id="202" w:name="refs"/>
    <w:bookmarkStart w:id="85" w:name="ref-8Gf0ScB2"/>
    <w:p>
      <w:pPr>
        <w:pStyle w:val="Bibliography"/>
      </w:pPr>
      <w:r>
        <w:t xml:space="preserve"> </w:t>
      </w:r>
      <w:r>
        <w:t xml:space="preserve">(2014)</w:t>
      </w:r>
      <w:r>
        <w:t xml:space="preserve"> </w:t>
      </w:r>
      <w:hyperlink r:id="rId84">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85"/>
    <w:bookmarkStart w:id="87" w:name="ref-1HKPvGqty"/>
    <w:p>
      <w:pPr>
        <w:pStyle w:val="Bibliography"/>
      </w:pPr>
      <w:r>
        <w:t xml:space="preserve">Adorno,M.</w:t>
      </w:r>
      <w:r>
        <w:t xml:space="preserve"> </w:t>
      </w:r>
      <w:r>
        <w:rPr>
          <w:iCs/>
          <w:i/>
        </w:rPr>
        <w:t xml:space="preserve">et al.</w:t>
      </w:r>
      <w:r>
        <w:t xml:space="preserve"> </w:t>
      </w:r>
      <w:r>
        <w:t xml:space="preserve">(2009)</w:t>
      </w:r>
      <w:r>
        <w:t xml:space="preserve"> </w:t>
      </w:r>
      <w:hyperlink r:id="rId86">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87"/>
    <w:bookmarkStart w:id="89" w:name="ref-6j21xB75"/>
    <w:p>
      <w:pPr>
        <w:pStyle w:val="Bibliography"/>
      </w:pPr>
      <w:r>
        <w:t xml:space="preserve">Arteaga,C.L. and Engelman,J.A. (2014)</w:t>
      </w:r>
      <w:r>
        <w:t xml:space="preserve"> </w:t>
      </w:r>
      <w:hyperlink r:id="rId88">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89"/>
    <w:bookmarkStart w:id="91" w:name="ref-ju5z9qDz"/>
    <w:p>
      <w:pPr>
        <w:pStyle w:val="Bibliography"/>
      </w:pPr>
      <w:r>
        <w:t xml:space="preserve">Bouaoun,L.</w:t>
      </w:r>
      <w:r>
        <w:t xml:space="preserve"> </w:t>
      </w:r>
      <w:r>
        <w:rPr>
          <w:iCs/>
          <w:i/>
        </w:rPr>
        <w:t xml:space="preserve">et al.</w:t>
      </w:r>
      <w:r>
        <w:t xml:space="preserve"> </w:t>
      </w:r>
      <w:r>
        <w:t xml:space="preserve">(2016)</w:t>
      </w:r>
      <w:r>
        <w:t xml:space="preserve"> </w:t>
      </w:r>
      <w:hyperlink r:id="rId90">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91"/>
    <w:bookmarkStart w:id="93"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92">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93"/>
    <w:bookmarkStart w:id="95" w:name="ref-KlPsMirp"/>
    <w:p>
      <w:pPr>
        <w:pStyle w:val="Bibliography"/>
      </w:pPr>
      <w:r>
        <w:t xml:space="preserve">Boutelle,A.M. and Attardi,L.D. (2021)</w:t>
      </w:r>
      <w:r>
        <w:t xml:space="preserve"> </w:t>
      </w:r>
      <w:hyperlink r:id="rId94">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95"/>
    <w:bookmarkStart w:id="97"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96">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97"/>
    <w:bookmarkStart w:id="99" w:name="ref-dTvhNsG9"/>
    <w:p>
      <w:pPr>
        <w:pStyle w:val="Bibliography"/>
      </w:pPr>
      <w:r>
        <w:t xml:space="preserve">Dankort,D.</w:t>
      </w:r>
      <w:r>
        <w:t xml:space="preserve"> </w:t>
      </w:r>
      <w:r>
        <w:rPr>
          <w:iCs/>
          <w:i/>
        </w:rPr>
        <w:t xml:space="preserve">et al.</w:t>
      </w:r>
      <w:r>
        <w:t xml:space="preserve"> </w:t>
      </w:r>
      <w:r>
        <w:t xml:space="preserve">(2007)</w:t>
      </w:r>
      <w:r>
        <w:t xml:space="preserve"> </w:t>
      </w:r>
      <w:hyperlink r:id="rId98">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99"/>
    <w:bookmarkStart w:id="101" w:name="ref-1F86sLj5s"/>
    <w:p>
      <w:pPr>
        <w:pStyle w:val="Bibliography"/>
      </w:pPr>
      <w:r>
        <w:t xml:space="preserve">de Groot,P. and Munden,R.F. (2012)</w:t>
      </w:r>
      <w:r>
        <w:t xml:space="preserve"> </w:t>
      </w:r>
      <w:hyperlink r:id="rId100">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01"/>
    <w:bookmarkStart w:id="103"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02">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03"/>
    <w:bookmarkStart w:id="105"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04">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05"/>
    <w:bookmarkStart w:id="107" w:name="ref-oVtv8JOR"/>
    <w:p>
      <w:pPr>
        <w:pStyle w:val="Bibliography"/>
      </w:pPr>
      <w:r>
        <w:t xml:space="preserve">Ferone,G.</w:t>
      </w:r>
      <w:r>
        <w:t xml:space="preserve"> </w:t>
      </w:r>
      <w:r>
        <w:rPr>
          <w:iCs/>
          <w:i/>
        </w:rPr>
        <w:t xml:space="preserve">et al.</w:t>
      </w:r>
      <w:r>
        <w:t xml:space="preserve"> </w:t>
      </w:r>
      <w:r>
        <w:t xml:space="preserve">(2020)</w:t>
      </w:r>
      <w:r>
        <w:t xml:space="preserve"> </w:t>
      </w:r>
      <w:hyperlink r:id="rId106">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07"/>
    <w:bookmarkStart w:id="109"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08">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09"/>
    <w:bookmarkStart w:id="111" w:name="ref-gI9Yeagx"/>
    <w:p>
      <w:pPr>
        <w:pStyle w:val="Bibliography"/>
      </w:pPr>
      <w:r>
        <w:t xml:space="preserve">Gao,J.</w:t>
      </w:r>
      <w:r>
        <w:t xml:space="preserve"> </w:t>
      </w:r>
      <w:r>
        <w:rPr>
          <w:iCs/>
          <w:i/>
        </w:rPr>
        <w:t xml:space="preserve">et al.</w:t>
      </w:r>
      <w:r>
        <w:t xml:space="preserve"> </w:t>
      </w:r>
      <w:r>
        <w:t xml:space="preserve">(2013)</w:t>
      </w:r>
      <w:r>
        <w:t xml:space="preserve"> </w:t>
      </w:r>
      <w:hyperlink r:id="rId110">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11"/>
    <w:bookmarkStart w:id="113" w:name="ref-ztWGsqcf"/>
    <w:p>
      <w:pPr>
        <w:pStyle w:val="Bibliography"/>
      </w:pPr>
      <w:r>
        <w:t xml:space="preserve">Garcia,P.B. and Attardi,L.D. (2014)</w:t>
      </w:r>
      <w:r>
        <w:t xml:space="preserve"> </w:t>
      </w:r>
      <w:hyperlink r:id="rId112">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13"/>
    <w:bookmarkStart w:id="115"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14">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15"/>
    <w:bookmarkStart w:id="117" w:name="ref-kgaUYMuT"/>
    <w:p>
      <w:pPr>
        <w:pStyle w:val="Bibliography"/>
      </w:pPr>
      <w:r>
        <w:t xml:space="preserve">Hanahan,D. (2022)</w:t>
      </w:r>
      <w:r>
        <w:t xml:space="preserve"> </w:t>
      </w:r>
      <w:hyperlink r:id="rId116">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117"/>
    <w:bookmarkStart w:id="119"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18">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19"/>
    <w:bookmarkStart w:id="121" w:name="ref-17uu2v5lM"/>
    <w:p>
      <w:pPr>
        <w:pStyle w:val="Bibliography"/>
      </w:pPr>
      <w:r>
        <w:t xml:space="preserve">Huang,S.</w:t>
      </w:r>
      <w:r>
        <w:t xml:space="preserve"> </w:t>
      </w:r>
      <w:r>
        <w:rPr>
          <w:iCs/>
          <w:i/>
        </w:rPr>
        <w:t xml:space="preserve">et al.</w:t>
      </w:r>
      <w:r>
        <w:t xml:space="preserve"> </w:t>
      </w:r>
      <w:r>
        <w:t xml:space="preserve">(2011)</w:t>
      </w:r>
      <w:r>
        <w:t xml:space="preserve"> </w:t>
      </w:r>
      <w:hyperlink r:id="rId120">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21"/>
    <w:bookmarkStart w:id="123"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122">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123"/>
    <w:bookmarkStart w:id="125"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124">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125"/>
    <w:bookmarkStart w:id="127"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126">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127"/>
    <w:bookmarkStart w:id="129" w:name="ref-o8jKDrsB"/>
    <w:p>
      <w:pPr>
        <w:pStyle w:val="Bibliography"/>
      </w:pPr>
      <w:r>
        <w:t xml:space="preserve">Kim,M.P.</w:t>
      </w:r>
      <w:r>
        <w:t xml:space="preserve"> </w:t>
      </w:r>
      <w:r>
        <w:rPr>
          <w:iCs/>
          <w:i/>
        </w:rPr>
        <w:t xml:space="preserve">et al.</w:t>
      </w:r>
      <w:r>
        <w:t xml:space="preserve"> </w:t>
      </w:r>
      <w:r>
        <w:t xml:space="preserve">(2021)</w:t>
      </w:r>
      <w:r>
        <w:t xml:space="preserve"> </w:t>
      </w:r>
      <w:hyperlink r:id="rId128">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129"/>
    <w:bookmarkStart w:id="131" w:name="ref-c63Ld4El"/>
    <w:p>
      <w:pPr>
        <w:pStyle w:val="Bibliography"/>
      </w:pPr>
      <w:r>
        <w:t xml:space="preserve">Kinsey,C.G.</w:t>
      </w:r>
      <w:r>
        <w:t xml:space="preserve"> </w:t>
      </w:r>
      <w:r>
        <w:rPr>
          <w:iCs/>
          <w:i/>
        </w:rPr>
        <w:t xml:space="preserve">et al.</w:t>
      </w:r>
      <w:r>
        <w:t xml:space="preserve"> </w:t>
      </w:r>
      <w:r>
        <w:t xml:space="preserve">(2019)</w:t>
      </w:r>
      <w:r>
        <w:t xml:space="preserve"> </w:t>
      </w:r>
      <w:hyperlink r:id="rId130">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131"/>
    <w:bookmarkStart w:id="133" w:name="ref-B0ClcVtn"/>
    <w:p>
      <w:pPr>
        <w:pStyle w:val="Bibliography"/>
      </w:pPr>
      <w:r>
        <w:t xml:space="preserve">Klemke,L.</w:t>
      </w:r>
      <w:r>
        <w:t xml:space="preserve"> </w:t>
      </w:r>
      <w:r>
        <w:rPr>
          <w:iCs/>
          <w:i/>
        </w:rPr>
        <w:t xml:space="preserve">et al.</w:t>
      </w:r>
      <w:r>
        <w:t xml:space="preserve"> </w:t>
      </w:r>
      <w:r>
        <w:t xml:space="preserve">(2021)</w:t>
      </w:r>
      <w:r>
        <w:t xml:space="preserve"> </w:t>
      </w:r>
      <w:hyperlink r:id="rId132">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133"/>
    <w:bookmarkStart w:id="135" w:name="ref-V4ONQpBd"/>
    <w:p>
      <w:pPr>
        <w:pStyle w:val="Bibliography"/>
      </w:pPr>
      <w:r>
        <w:t xml:space="preserve">Lang,G.A.</w:t>
      </w:r>
      <w:r>
        <w:t xml:space="preserve"> </w:t>
      </w:r>
      <w:r>
        <w:rPr>
          <w:iCs/>
          <w:i/>
        </w:rPr>
        <w:t xml:space="preserve">et al.</w:t>
      </w:r>
      <w:r>
        <w:t xml:space="preserve"> </w:t>
      </w:r>
      <w:r>
        <w:t xml:space="preserve">(2004)</w:t>
      </w:r>
      <w:r>
        <w:t xml:space="preserve"> </w:t>
      </w:r>
      <w:hyperlink r:id="rId134">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135"/>
    <w:bookmarkStart w:id="137" w:name="ref-13QSbJkMk"/>
    <w:p>
      <w:pPr>
        <w:pStyle w:val="Bibliography"/>
      </w:pPr>
      <w:r>
        <w:t xml:space="preserve">Levine,A.J. (2020)</w:t>
      </w:r>
      <w:r>
        <w:t xml:space="preserve"> </w:t>
      </w:r>
      <w:hyperlink r:id="rId136">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137"/>
    <w:bookmarkStart w:id="139"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138">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139"/>
    <w:bookmarkStart w:id="141"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140">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141"/>
    <w:bookmarkStart w:id="143" w:name="ref-SY8r3LQy"/>
    <w:p>
      <w:pPr>
        <w:pStyle w:val="Bibliography"/>
      </w:pPr>
      <w:r>
        <w:t xml:space="preserve">Matsunaga,M. and Shida,K. (1971)</w:t>
      </w:r>
      <w:r>
        <w:t xml:space="preserve"> </w:t>
      </w:r>
      <w:hyperlink r:id="rId142">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143"/>
    <w:bookmarkStart w:id="145"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144">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145"/>
    <w:bookmarkStart w:id="147" w:name="ref-cWKMNUBI"/>
    <w:p>
      <w:pPr>
        <w:pStyle w:val="Bibliography"/>
      </w:pPr>
      <w:r>
        <w:t xml:space="preserve">Mukhopadhyay,A. and Oliver,T.G. (2014)</w:t>
      </w:r>
      <w:r>
        <w:t xml:space="preserve"> </w:t>
      </w:r>
      <w:hyperlink r:id="rId146">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147"/>
    <w:bookmarkStart w:id="149"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148">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149"/>
    <w:bookmarkStart w:id="151" w:name="ref-wDnAOh0T"/>
    <w:p>
      <w:pPr>
        <w:pStyle w:val="Bibliography"/>
      </w:pPr>
      <w:r>
        <w:t xml:space="preserve">Nichols,L.</w:t>
      </w:r>
      <w:r>
        <w:t xml:space="preserve"> </w:t>
      </w:r>
      <w:r>
        <w:rPr>
          <w:iCs/>
          <w:i/>
        </w:rPr>
        <w:t xml:space="preserve">et al.</w:t>
      </w:r>
      <w:r>
        <w:t xml:space="preserve"> </w:t>
      </w:r>
      <w:r>
        <w:t xml:space="preserve">(2012)</w:t>
      </w:r>
      <w:r>
        <w:t xml:space="preserve"> </w:t>
      </w:r>
      <w:hyperlink r:id="rId150">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151"/>
    <w:bookmarkStart w:id="153"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152">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153"/>
    <w:bookmarkStart w:id="155" w:name="ref-MLY9vR0E"/>
    <w:p>
      <w:pPr>
        <w:pStyle w:val="Bibliography"/>
      </w:pPr>
      <w:r>
        <w:t xml:space="preserve">Olive,K.P.</w:t>
      </w:r>
      <w:r>
        <w:t xml:space="preserve"> </w:t>
      </w:r>
      <w:r>
        <w:rPr>
          <w:iCs/>
          <w:i/>
        </w:rPr>
        <w:t xml:space="preserve">et al.</w:t>
      </w:r>
      <w:r>
        <w:t xml:space="preserve"> </w:t>
      </w:r>
      <w:r>
        <w:t xml:space="preserve">(2004)</w:t>
      </w:r>
      <w:r>
        <w:t xml:space="preserve"> </w:t>
      </w:r>
      <w:hyperlink r:id="rId154">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155"/>
    <w:bookmarkStart w:id="157"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156">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157"/>
    <w:bookmarkStart w:id="159" w:name="ref-E3yjcNvW"/>
    <w:p>
      <w:pPr>
        <w:pStyle w:val="Bibliography"/>
      </w:pPr>
      <w:r>
        <w:t xml:space="preserve">Perry,M.E.</w:t>
      </w:r>
      <w:r>
        <w:t xml:space="preserve"> </w:t>
      </w:r>
      <w:r>
        <w:rPr>
          <w:iCs/>
          <w:i/>
        </w:rPr>
        <w:t xml:space="preserve">et al.</w:t>
      </w:r>
      <w:r>
        <w:t xml:space="preserve"> </w:t>
      </w:r>
      <w:r>
        <w:t xml:space="preserve">(1993)</w:t>
      </w:r>
      <w:r>
        <w:t xml:space="preserve"> </w:t>
      </w:r>
      <w:hyperlink r:id="rId158">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159"/>
    <w:bookmarkStart w:id="161"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160">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161"/>
    <w:bookmarkStart w:id="163"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162">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163"/>
    <w:bookmarkStart w:id="165" w:name="ref-kQzAqqtP"/>
    <w:p>
      <w:pPr>
        <w:pStyle w:val="Bibliography"/>
      </w:pPr>
      <w:r>
        <w:t xml:space="preserve">Politi,K.</w:t>
      </w:r>
      <w:r>
        <w:t xml:space="preserve"> </w:t>
      </w:r>
      <w:r>
        <w:rPr>
          <w:iCs/>
          <w:i/>
        </w:rPr>
        <w:t xml:space="preserve">et al.</w:t>
      </w:r>
      <w:r>
        <w:t xml:space="preserve"> </w:t>
      </w:r>
      <w:r>
        <w:t xml:space="preserve">(2006)</w:t>
      </w:r>
      <w:r>
        <w:t xml:space="preserve"> </w:t>
      </w:r>
      <w:hyperlink r:id="rId164">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165"/>
    <w:bookmarkStart w:id="167" w:name="ref-1CvrKB1k3"/>
    <w:p>
      <w:pPr>
        <w:pStyle w:val="Bibliography"/>
      </w:pPr>
      <w:r>
        <w:t xml:space="preserve">Reita,D.</w:t>
      </w:r>
      <w:r>
        <w:t xml:space="preserve"> </w:t>
      </w:r>
      <w:r>
        <w:rPr>
          <w:iCs/>
          <w:i/>
        </w:rPr>
        <w:t xml:space="preserve">et al.</w:t>
      </w:r>
      <w:r>
        <w:t xml:space="preserve"> </w:t>
      </w:r>
      <w:r>
        <w:t xml:space="preserve">(2022)</w:t>
      </w:r>
      <w:r>
        <w:t xml:space="preserve"> </w:t>
      </w:r>
      <w:hyperlink r:id="rId166">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167"/>
    <w:bookmarkStart w:id="169" w:name="ref-CgOGrXoS"/>
    <w:p>
      <w:pPr>
        <w:pStyle w:val="Bibliography"/>
      </w:pPr>
      <w:r>
        <w:t xml:space="preserve">Robert,C.</w:t>
      </w:r>
      <w:r>
        <w:t xml:space="preserve"> </w:t>
      </w:r>
      <w:r>
        <w:rPr>
          <w:iCs/>
          <w:i/>
        </w:rPr>
        <w:t xml:space="preserve">et al.</w:t>
      </w:r>
      <w:r>
        <w:t xml:space="preserve"> </w:t>
      </w:r>
      <w:r>
        <w:t xml:space="preserve">(2014)</w:t>
      </w:r>
      <w:r>
        <w:t xml:space="preserve"> </w:t>
      </w:r>
      <w:hyperlink r:id="rId168">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169"/>
    <w:bookmarkStart w:id="171" w:name="ref-PX0Ki15S"/>
    <w:p>
      <w:pPr>
        <w:pStyle w:val="Bibliography"/>
      </w:pPr>
      <w:r>
        <w:t xml:space="preserve">Rusch,V.</w:t>
      </w:r>
      <w:r>
        <w:t xml:space="preserve"> </w:t>
      </w:r>
      <w:r>
        <w:rPr>
          <w:iCs/>
          <w:i/>
        </w:rPr>
        <w:t xml:space="preserve">et al.</w:t>
      </w:r>
      <w:r>
        <w:t xml:space="preserve"> </w:t>
      </w:r>
      <w:r>
        <w:t xml:space="preserve">(1995)</w:t>
      </w:r>
      <w:r>
        <w:t xml:space="preserve"> </w:t>
      </w:r>
      <w:hyperlink r:id="rId170">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171"/>
    <w:bookmarkStart w:id="173" w:name="ref-UfKKrJ6l"/>
    <w:p>
      <w:pPr>
        <w:pStyle w:val="Bibliography"/>
      </w:pPr>
      <w:r>
        <w:t xml:space="preserve">Sainz de Aja,J. and Kim,C.F. (2020)</w:t>
      </w:r>
      <w:r>
        <w:t xml:space="preserve"> </w:t>
      </w:r>
      <w:hyperlink r:id="rId172">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173"/>
    <w:bookmarkStart w:id="175" w:name="ref-Ntv29NRu"/>
    <w:p>
      <w:pPr>
        <w:pStyle w:val="Bibliography"/>
      </w:pPr>
      <w:r>
        <w:t xml:space="preserve">Shai,A.</w:t>
      </w:r>
      <w:r>
        <w:t xml:space="preserve"> </w:t>
      </w:r>
      <w:r>
        <w:rPr>
          <w:iCs/>
          <w:i/>
        </w:rPr>
        <w:t xml:space="preserve">et al.</w:t>
      </w:r>
      <w:r>
        <w:t xml:space="preserve"> </w:t>
      </w:r>
      <w:r>
        <w:t xml:space="preserve">(2015)</w:t>
      </w:r>
      <w:r>
        <w:t xml:space="preserve"> </w:t>
      </w:r>
      <w:hyperlink r:id="rId174">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175"/>
    <w:bookmarkStart w:id="177" w:name="ref-gY2NonCA"/>
    <w:p>
      <w:pPr>
        <w:pStyle w:val="Bibliography"/>
      </w:pPr>
      <w:r>
        <w:t xml:space="preserve">Siegel,R.L.</w:t>
      </w:r>
      <w:r>
        <w:t xml:space="preserve"> </w:t>
      </w:r>
      <w:r>
        <w:rPr>
          <w:iCs/>
          <w:i/>
        </w:rPr>
        <w:t xml:space="preserve">et al.</w:t>
      </w:r>
      <w:r>
        <w:t xml:space="preserve"> </w:t>
      </w:r>
      <w:r>
        <w:t xml:space="preserve">(2021)</w:t>
      </w:r>
      <w:r>
        <w:t xml:space="preserve"> </w:t>
      </w:r>
      <w:hyperlink r:id="rId176">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177"/>
    <w:bookmarkStart w:id="179"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178">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179"/>
    <w:bookmarkStart w:id="181" w:name="ref-fXe5uEAl"/>
    <w:p>
      <w:pPr>
        <w:pStyle w:val="Bibliography"/>
      </w:pPr>
      <w:r>
        <w:t xml:space="preserve">Tabbò,F.</w:t>
      </w:r>
      <w:r>
        <w:t xml:space="preserve"> </w:t>
      </w:r>
      <w:r>
        <w:rPr>
          <w:iCs/>
          <w:i/>
        </w:rPr>
        <w:t xml:space="preserve">et al.</w:t>
      </w:r>
      <w:r>
        <w:t xml:space="preserve"> </w:t>
      </w:r>
      <w:r>
        <w:t xml:space="preserve">(2021)</w:t>
      </w:r>
      <w:r>
        <w:t xml:space="preserve"> </w:t>
      </w:r>
      <w:hyperlink r:id="rId180">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181"/>
    <w:bookmarkStart w:id="183" w:name="ref-jKCnCnG4"/>
    <w:p>
      <w:pPr>
        <w:pStyle w:val="Bibliography"/>
      </w:pPr>
      <w:r>
        <w:t xml:space="preserve">Truong,A.</w:t>
      </w:r>
      <w:r>
        <w:t xml:space="preserve"> </w:t>
      </w:r>
      <w:r>
        <w:rPr>
          <w:iCs/>
          <w:i/>
        </w:rPr>
        <w:t xml:space="preserve">et al.</w:t>
      </w:r>
      <w:r>
        <w:t xml:space="preserve"> </w:t>
      </w:r>
      <w:r>
        <w:t xml:space="preserve">(2020)</w:t>
      </w:r>
      <w:r>
        <w:t xml:space="preserve"> </w:t>
      </w:r>
      <w:hyperlink r:id="rId182">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183"/>
    <w:bookmarkStart w:id="185"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184">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185"/>
    <w:bookmarkStart w:id="187"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186">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187"/>
    <w:bookmarkStart w:id="189" w:name="ref-11g54rA8N"/>
    <w:p>
      <w:pPr>
        <w:pStyle w:val="Bibliography"/>
      </w:pPr>
      <w:r>
        <w:t xml:space="preserve">Warren,G.W. and Cummings,K.M. (2013)</w:t>
      </w:r>
      <w:r>
        <w:t xml:space="preserve"> </w:t>
      </w:r>
      <w:hyperlink r:id="rId188">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189"/>
    <w:bookmarkStart w:id="191"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190">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191"/>
    <w:bookmarkStart w:id="193"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192">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193"/>
    <w:bookmarkStart w:id="195" w:name="ref-tR3WrnP9"/>
    <w:p>
      <w:pPr>
        <w:pStyle w:val="Bibliography"/>
      </w:pPr>
      <w:r>
        <w:t xml:space="preserve">Woodard,G.A.</w:t>
      </w:r>
      <w:r>
        <w:t xml:space="preserve"> </w:t>
      </w:r>
      <w:r>
        <w:rPr>
          <w:iCs/>
          <w:i/>
        </w:rPr>
        <w:t xml:space="preserve">et al.</w:t>
      </w:r>
      <w:r>
        <w:t xml:space="preserve"> </w:t>
      </w:r>
      <w:hyperlink r:id="rId194">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195"/>
    <w:bookmarkStart w:id="197" w:name="ref-Mb1Q4pdk"/>
    <w:p>
      <w:pPr>
        <w:pStyle w:val="Bibliography"/>
      </w:pPr>
      <w:r>
        <w:t xml:space="preserve">Wu,X.</w:t>
      </w:r>
      <w:r>
        <w:t xml:space="preserve"> </w:t>
      </w:r>
      <w:r>
        <w:rPr>
          <w:iCs/>
          <w:i/>
        </w:rPr>
        <w:t xml:space="preserve">et al.</w:t>
      </w:r>
      <w:r>
        <w:t xml:space="preserve"> </w:t>
      </w:r>
      <w:r>
        <w:t xml:space="preserve">(1993)</w:t>
      </w:r>
      <w:r>
        <w:t xml:space="preserve"> </w:t>
      </w:r>
      <w:hyperlink r:id="rId196">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197"/>
    <w:bookmarkStart w:id="199" w:name="ref-kitgYOkt"/>
    <w:p>
      <w:pPr>
        <w:pStyle w:val="Bibliography"/>
      </w:pPr>
      <w:r>
        <w:t xml:space="preserve">Zhang,Y.</w:t>
      </w:r>
      <w:r>
        <w:t xml:space="preserve"> </w:t>
      </w:r>
      <w:r>
        <w:rPr>
          <w:iCs/>
          <w:i/>
        </w:rPr>
        <w:t xml:space="preserve">et al.</w:t>
      </w:r>
      <w:r>
        <w:t xml:space="preserve"> </w:t>
      </w:r>
      <w:r>
        <w:t xml:space="preserve">(2018)</w:t>
      </w:r>
      <w:r>
        <w:t xml:space="preserve"> </w:t>
      </w:r>
      <w:hyperlink r:id="rId198">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199"/>
    <w:bookmarkStart w:id="201" w:name="ref-bZo8j50s"/>
    <w:p>
      <w:pPr>
        <w:pStyle w:val="Bibliography"/>
      </w:pPr>
      <w:r>
        <w:t xml:space="preserve">Zheng,Q.</w:t>
      </w:r>
      <w:r>
        <w:t xml:space="preserve"> </w:t>
      </w:r>
      <w:r>
        <w:rPr>
          <w:iCs/>
          <w:i/>
        </w:rPr>
        <w:t xml:space="preserve">et al.</w:t>
      </w:r>
      <w:r>
        <w:t xml:space="preserve"> </w:t>
      </w:r>
      <w:r>
        <w:t xml:space="preserve">(2022)</w:t>
      </w:r>
      <w:r>
        <w:t xml:space="preserve"> </w:t>
      </w:r>
      <w:hyperlink r:id="rId200">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201"/>
    <w:bookmarkEnd w:id="202"/>
    <w:bookmarkEnd w:id="203"/>
    <w:bookmarkEnd w:id="20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30" Target="media/rId30.svg" /><Relationship Type="http://schemas.openxmlformats.org/officeDocument/2006/relationships/hyperlink" Id="rId90" Target="https://doi.org/10.1002/humu.23035" TargetMode="External" /><Relationship Type="http://schemas.openxmlformats.org/officeDocument/2006/relationships/hyperlink" Id="rId194" Target="https://doi.org/10.1007/978-3-319-40389-2_3" TargetMode="External" /><Relationship Type="http://schemas.openxmlformats.org/officeDocument/2006/relationships/hyperlink" Id="rId114" Target="https://doi.org/10.1007/s10555-020-09903-9" TargetMode="External" /><Relationship Type="http://schemas.openxmlformats.org/officeDocument/2006/relationships/hyperlink" Id="rId140" Target="https://doi.org/10.1016/j.ccell.2020.06.012" TargetMode="External" /><Relationship Type="http://schemas.openxmlformats.org/officeDocument/2006/relationships/hyperlink" Id="rId88" Target="https://doi.org/10.1016/j.ccr.2014.02.025" TargetMode="External" /><Relationship Type="http://schemas.openxmlformats.org/officeDocument/2006/relationships/hyperlink" Id="rId154" Target="https://doi.org/10.1016/j.cell.2004.11.004" TargetMode="External" /><Relationship Type="http://schemas.openxmlformats.org/officeDocument/2006/relationships/hyperlink" Id="rId134" Target="https://doi.org/10.1016/j.cell.2004.11.006" TargetMode="External" /><Relationship Type="http://schemas.openxmlformats.org/officeDocument/2006/relationships/hyperlink" Id="rId86" Target="https://doi.org/10.1016/j.cell.2009.01.039" TargetMode="External" /><Relationship Type="http://schemas.openxmlformats.org/officeDocument/2006/relationships/hyperlink" Id="rId190" Target="https://doi.org/10.1016/j.cell.2014.01.066" TargetMode="External" /><Relationship Type="http://schemas.openxmlformats.org/officeDocument/2006/relationships/hyperlink" Id="rId172" Target="https://doi.org/10.1016/j.cell.2019.12.020" TargetMode="External" /><Relationship Type="http://schemas.openxmlformats.org/officeDocument/2006/relationships/hyperlink" Id="rId180" Target="https://doi.org/10.1016/j.ctrv.2021.102335" TargetMode="External" /><Relationship Type="http://schemas.openxmlformats.org/officeDocument/2006/relationships/hyperlink" Id="rId144" Target="https://doi.org/10.1016/j.immuni.2018.09.020" TargetMode="External" /><Relationship Type="http://schemas.openxmlformats.org/officeDocument/2006/relationships/hyperlink" Id="rId162" Target="https://doi.org/10.1016/j.jtho.2021.08.011" TargetMode="External" /><Relationship Type="http://schemas.openxmlformats.org/officeDocument/2006/relationships/hyperlink" Id="rId100" Target="https://doi.org/10.1016/j.rcl.2012.06.006" TargetMode="External" /><Relationship Type="http://schemas.openxmlformats.org/officeDocument/2006/relationships/hyperlink" Id="rId112" Target="https://doi.org/10.1016/j.semcdb.2013.12.014" TargetMode="External" /><Relationship Type="http://schemas.openxmlformats.org/officeDocument/2006/relationships/hyperlink" Id="rId94" Target="https://doi.org/10.1016/j.tcb.2020.12.011" TargetMode="External" /><Relationship Type="http://schemas.openxmlformats.org/officeDocument/2006/relationships/hyperlink" Id="rId160" Target="https://doi.org/10.1016/s1470-2045(16)30146-2" TargetMode="External" /><Relationship Type="http://schemas.openxmlformats.org/officeDocument/2006/relationships/hyperlink" Id="rId200" Target="https://doi.org/10.1021/acs.jmedchem.2c00099" TargetMode="External" /><Relationship Type="http://schemas.openxmlformats.org/officeDocument/2006/relationships/hyperlink" Id="rId186" Target="https://doi.org/10.1038/35042675" TargetMode="External" /><Relationship Type="http://schemas.openxmlformats.org/officeDocument/2006/relationships/hyperlink" Id="rId96" Target="https://doi.org/10.1038/nature05077" TargetMode="External" /><Relationship Type="http://schemas.openxmlformats.org/officeDocument/2006/relationships/hyperlink" Id="rId126" Target="https://doi.org/10.1038/nature09526" TargetMode="External" /><Relationship Type="http://schemas.openxmlformats.org/officeDocument/2006/relationships/hyperlink" Id="rId104" Target="https://doi.org/10.1038/nature09535" TargetMode="External" /><Relationship Type="http://schemas.openxmlformats.org/officeDocument/2006/relationships/hyperlink" Id="rId84" Target="https://doi.org/10.1038/nature13385" TargetMode="External" /><Relationship Type="http://schemas.openxmlformats.org/officeDocument/2006/relationships/hyperlink" Id="rId148" Target="https://doi.org/10.1038/ncomms12685" TargetMode="External" /><Relationship Type="http://schemas.openxmlformats.org/officeDocument/2006/relationships/hyperlink" Id="rId198" Target="https://doi.org/10.1038/s41467-018-06146-9" TargetMode="External" /><Relationship Type="http://schemas.openxmlformats.org/officeDocument/2006/relationships/hyperlink" Id="rId136" Target="https://doi.org/10.1038/s41568-020-0262-1" TargetMode="External" /><Relationship Type="http://schemas.openxmlformats.org/officeDocument/2006/relationships/hyperlink" Id="rId130" Target="https://doi.org/10.1038/s41591-019-0367-9" TargetMode="External" /><Relationship Type="http://schemas.openxmlformats.org/officeDocument/2006/relationships/hyperlink" Id="rId168" Target="https://doi.org/10.1056/nejmoa1412690" TargetMode="External" /><Relationship Type="http://schemas.openxmlformats.org/officeDocument/2006/relationships/hyperlink" Id="rId118" Target="https://doi.org/10.1056/nejmra0802714" TargetMode="External" /><Relationship Type="http://schemas.openxmlformats.org/officeDocument/2006/relationships/hyperlink" Id="rId178" Target="https://doi.org/10.1073/pnas.1319963111" TargetMode="External" /><Relationship Type="http://schemas.openxmlformats.org/officeDocument/2006/relationships/hyperlink" Id="rId158" Target="https://doi.org/10.1073/pnas.90.24.11623" TargetMode="External" /><Relationship Type="http://schemas.openxmlformats.org/officeDocument/2006/relationships/hyperlink" Id="rId156" Target="https://doi.org/10.1101/cshperspect.a001008" TargetMode="External" /><Relationship Type="http://schemas.openxmlformats.org/officeDocument/2006/relationships/hyperlink" Id="rId164" Target="https://doi.org/10.1101/gad.1417406" TargetMode="External" /><Relationship Type="http://schemas.openxmlformats.org/officeDocument/2006/relationships/hyperlink" Id="rId98" Target="https://doi.org/10.1101/gad.1516407" TargetMode="External" /><Relationship Type="http://schemas.openxmlformats.org/officeDocument/2006/relationships/hyperlink" Id="rId106" Target="https://doi.org/10.1101/gad.338228.120" TargetMode="External" /><Relationship Type="http://schemas.openxmlformats.org/officeDocument/2006/relationships/hyperlink" Id="rId196" Target="https://doi.org/10.1101/gad.7.7a.1126" TargetMode="External" /><Relationship Type="http://schemas.openxmlformats.org/officeDocument/2006/relationships/hyperlink" Id="rId122" Target="https://doi.org/10.1101/gad.943001" TargetMode="External" /><Relationship Type="http://schemas.openxmlformats.org/officeDocument/2006/relationships/hyperlink" Id="rId110" Target="https://doi.org/10.1126/scisignal.2004088" TargetMode="External" /><Relationship Type="http://schemas.openxmlformats.org/officeDocument/2006/relationships/hyperlink" Id="rId108" Target="https://doi.org/10.1128/mcb.21.5.1874-1887.2001" TargetMode="External" /><Relationship Type="http://schemas.openxmlformats.org/officeDocument/2006/relationships/hyperlink" Id="rId92" Target="https://doi.org/10.1136/jmg.2008.057570" TargetMode="External" /><Relationship Type="http://schemas.openxmlformats.org/officeDocument/2006/relationships/hyperlink" Id="rId152" Target="https://doi.org/10.1158/0008-5472.can-03-3376" TargetMode="External" /><Relationship Type="http://schemas.openxmlformats.org/officeDocument/2006/relationships/hyperlink" Id="rId192" Target="https://doi.org/10.1158/0008-5472.can-05-1650" TargetMode="External" /><Relationship Type="http://schemas.openxmlformats.org/officeDocument/2006/relationships/hyperlink" Id="rId124" Target="https://doi.org/10.1158/0008-5472.can-05-2193" TargetMode="External" /><Relationship Type="http://schemas.openxmlformats.org/officeDocument/2006/relationships/hyperlink" Id="rId120" Target="https://doi.org/10.1158/0008-5472.can-11-0128" TargetMode="External" /><Relationship Type="http://schemas.openxmlformats.org/officeDocument/2006/relationships/hyperlink" Id="rId174" Target="https://doi.org/10.1158/0008-5472.can-14-3701" TargetMode="External" /><Relationship Type="http://schemas.openxmlformats.org/officeDocument/2006/relationships/hyperlink" Id="rId182" Target="https://doi.org/10.1158/1078-0432.ccr-20-1675" TargetMode="External" /><Relationship Type="http://schemas.openxmlformats.org/officeDocument/2006/relationships/hyperlink" Id="rId102" Target="https://doi.org/10.1158/2159-8290.cd-14-0856" TargetMode="External" /><Relationship Type="http://schemas.openxmlformats.org/officeDocument/2006/relationships/hyperlink" Id="rId128" Target="https://doi.org/10.1158/2159-8290.cd-20-1228" TargetMode="External" /><Relationship Type="http://schemas.openxmlformats.org/officeDocument/2006/relationships/hyperlink" Id="rId116" Target="https://doi.org/10.1158/2159-8290.cd-21-1059" TargetMode="External" /><Relationship Type="http://schemas.openxmlformats.org/officeDocument/2006/relationships/hyperlink" Id="rId138" Target="https://doi.org/10.1183/13993003.00359-2016" TargetMode="External" /><Relationship Type="http://schemas.openxmlformats.org/officeDocument/2006/relationships/hyperlink" Id="rId188" Target="https://doi.org/10.14694/edbook_am.2013.33.359" TargetMode="External" /><Relationship Type="http://schemas.openxmlformats.org/officeDocument/2006/relationships/hyperlink" Id="rId176" Target="https://doi.org/10.3322/caac.21654" TargetMode="External" /><Relationship Type="http://schemas.openxmlformats.org/officeDocument/2006/relationships/hyperlink" Id="rId132" Target="https://doi.org/10.3389/fonc.2021.642603" TargetMode="External" /><Relationship Type="http://schemas.openxmlformats.org/officeDocument/2006/relationships/hyperlink" Id="rId166" Target="https://doi.org/10.3390/cancers14051321" TargetMode="External" /><Relationship Type="http://schemas.openxmlformats.org/officeDocument/2006/relationships/hyperlink" Id="rId146" Target="https://doi.org/10.4161/23723548.2014.969651" TargetMode="External" /><Relationship Type="http://schemas.openxmlformats.org/officeDocument/2006/relationships/hyperlink" Id="rId150" Target="https://doi.org/10.5858/arpa.2011-0521-oa" TargetMode="External" /><Relationship Type="http://schemas.openxmlformats.org/officeDocument/2006/relationships/hyperlink" Id="rId184"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5c8aea3d5fbc147f384068723bceba76aa35d4a9"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5c8aea3d5fbc147f384068723bceba76aa35d4a9/" TargetMode="External" /><Relationship Type="http://schemas.openxmlformats.org/officeDocument/2006/relationships/hyperlink" Id="rId33" Target="https://twitter.com/johndoe" TargetMode="External" /><Relationship Type="http://schemas.openxmlformats.org/officeDocument/2006/relationships/hyperlink" Id="rId142" Target="https://www.ncbi.nlm.nih.gov/pubmed/5130083" TargetMode="External" /><Relationship Type="http://schemas.openxmlformats.org/officeDocument/2006/relationships/hyperlink" Id="rId170"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90" Target="https://doi.org/10.1002/humu.23035" TargetMode="External" /><Relationship Type="http://schemas.openxmlformats.org/officeDocument/2006/relationships/hyperlink" Id="rId194" Target="https://doi.org/10.1007/978-3-319-40389-2_3" TargetMode="External" /><Relationship Type="http://schemas.openxmlformats.org/officeDocument/2006/relationships/hyperlink" Id="rId114" Target="https://doi.org/10.1007/s10555-020-09903-9" TargetMode="External" /><Relationship Type="http://schemas.openxmlformats.org/officeDocument/2006/relationships/hyperlink" Id="rId140" Target="https://doi.org/10.1016/j.ccell.2020.06.012" TargetMode="External" /><Relationship Type="http://schemas.openxmlformats.org/officeDocument/2006/relationships/hyperlink" Id="rId88" Target="https://doi.org/10.1016/j.ccr.2014.02.025" TargetMode="External" /><Relationship Type="http://schemas.openxmlformats.org/officeDocument/2006/relationships/hyperlink" Id="rId154" Target="https://doi.org/10.1016/j.cell.2004.11.004" TargetMode="External" /><Relationship Type="http://schemas.openxmlformats.org/officeDocument/2006/relationships/hyperlink" Id="rId134" Target="https://doi.org/10.1016/j.cell.2004.11.006" TargetMode="External" /><Relationship Type="http://schemas.openxmlformats.org/officeDocument/2006/relationships/hyperlink" Id="rId86" Target="https://doi.org/10.1016/j.cell.2009.01.039" TargetMode="External" /><Relationship Type="http://schemas.openxmlformats.org/officeDocument/2006/relationships/hyperlink" Id="rId190" Target="https://doi.org/10.1016/j.cell.2014.01.066" TargetMode="External" /><Relationship Type="http://schemas.openxmlformats.org/officeDocument/2006/relationships/hyperlink" Id="rId172" Target="https://doi.org/10.1016/j.cell.2019.12.020" TargetMode="External" /><Relationship Type="http://schemas.openxmlformats.org/officeDocument/2006/relationships/hyperlink" Id="rId180" Target="https://doi.org/10.1016/j.ctrv.2021.102335" TargetMode="External" /><Relationship Type="http://schemas.openxmlformats.org/officeDocument/2006/relationships/hyperlink" Id="rId144" Target="https://doi.org/10.1016/j.immuni.2018.09.020" TargetMode="External" /><Relationship Type="http://schemas.openxmlformats.org/officeDocument/2006/relationships/hyperlink" Id="rId162" Target="https://doi.org/10.1016/j.jtho.2021.08.011" TargetMode="External" /><Relationship Type="http://schemas.openxmlformats.org/officeDocument/2006/relationships/hyperlink" Id="rId100" Target="https://doi.org/10.1016/j.rcl.2012.06.006" TargetMode="External" /><Relationship Type="http://schemas.openxmlformats.org/officeDocument/2006/relationships/hyperlink" Id="rId112" Target="https://doi.org/10.1016/j.semcdb.2013.12.014" TargetMode="External" /><Relationship Type="http://schemas.openxmlformats.org/officeDocument/2006/relationships/hyperlink" Id="rId94" Target="https://doi.org/10.1016/j.tcb.2020.12.011" TargetMode="External" /><Relationship Type="http://schemas.openxmlformats.org/officeDocument/2006/relationships/hyperlink" Id="rId160" Target="https://doi.org/10.1016/s1470-2045(16)30146-2" TargetMode="External" /><Relationship Type="http://schemas.openxmlformats.org/officeDocument/2006/relationships/hyperlink" Id="rId200" Target="https://doi.org/10.1021/acs.jmedchem.2c00099" TargetMode="External" /><Relationship Type="http://schemas.openxmlformats.org/officeDocument/2006/relationships/hyperlink" Id="rId186" Target="https://doi.org/10.1038/35042675" TargetMode="External" /><Relationship Type="http://schemas.openxmlformats.org/officeDocument/2006/relationships/hyperlink" Id="rId96" Target="https://doi.org/10.1038/nature05077" TargetMode="External" /><Relationship Type="http://schemas.openxmlformats.org/officeDocument/2006/relationships/hyperlink" Id="rId126" Target="https://doi.org/10.1038/nature09526" TargetMode="External" /><Relationship Type="http://schemas.openxmlformats.org/officeDocument/2006/relationships/hyperlink" Id="rId104" Target="https://doi.org/10.1038/nature09535" TargetMode="External" /><Relationship Type="http://schemas.openxmlformats.org/officeDocument/2006/relationships/hyperlink" Id="rId84" Target="https://doi.org/10.1038/nature13385" TargetMode="External" /><Relationship Type="http://schemas.openxmlformats.org/officeDocument/2006/relationships/hyperlink" Id="rId148" Target="https://doi.org/10.1038/ncomms12685" TargetMode="External" /><Relationship Type="http://schemas.openxmlformats.org/officeDocument/2006/relationships/hyperlink" Id="rId198" Target="https://doi.org/10.1038/s41467-018-06146-9" TargetMode="External" /><Relationship Type="http://schemas.openxmlformats.org/officeDocument/2006/relationships/hyperlink" Id="rId136" Target="https://doi.org/10.1038/s41568-020-0262-1" TargetMode="External" /><Relationship Type="http://schemas.openxmlformats.org/officeDocument/2006/relationships/hyperlink" Id="rId130" Target="https://doi.org/10.1038/s41591-019-0367-9" TargetMode="External" /><Relationship Type="http://schemas.openxmlformats.org/officeDocument/2006/relationships/hyperlink" Id="rId168" Target="https://doi.org/10.1056/nejmoa1412690" TargetMode="External" /><Relationship Type="http://schemas.openxmlformats.org/officeDocument/2006/relationships/hyperlink" Id="rId118" Target="https://doi.org/10.1056/nejmra0802714" TargetMode="External" /><Relationship Type="http://schemas.openxmlformats.org/officeDocument/2006/relationships/hyperlink" Id="rId178" Target="https://doi.org/10.1073/pnas.1319963111" TargetMode="External" /><Relationship Type="http://schemas.openxmlformats.org/officeDocument/2006/relationships/hyperlink" Id="rId158" Target="https://doi.org/10.1073/pnas.90.24.11623" TargetMode="External" /><Relationship Type="http://schemas.openxmlformats.org/officeDocument/2006/relationships/hyperlink" Id="rId156" Target="https://doi.org/10.1101/cshperspect.a001008" TargetMode="External" /><Relationship Type="http://schemas.openxmlformats.org/officeDocument/2006/relationships/hyperlink" Id="rId164" Target="https://doi.org/10.1101/gad.1417406" TargetMode="External" /><Relationship Type="http://schemas.openxmlformats.org/officeDocument/2006/relationships/hyperlink" Id="rId98" Target="https://doi.org/10.1101/gad.1516407" TargetMode="External" /><Relationship Type="http://schemas.openxmlformats.org/officeDocument/2006/relationships/hyperlink" Id="rId106" Target="https://doi.org/10.1101/gad.338228.120" TargetMode="External" /><Relationship Type="http://schemas.openxmlformats.org/officeDocument/2006/relationships/hyperlink" Id="rId196" Target="https://doi.org/10.1101/gad.7.7a.1126" TargetMode="External" /><Relationship Type="http://schemas.openxmlformats.org/officeDocument/2006/relationships/hyperlink" Id="rId122" Target="https://doi.org/10.1101/gad.943001" TargetMode="External" /><Relationship Type="http://schemas.openxmlformats.org/officeDocument/2006/relationships/hyperlink" Id="rId110" Target="https://doi.org/10.1126/scisignal.2004088" TargetMode="External" /><Relationship Type="http://schemas.openxmlformats.org/officeDocument/2006/relationships/hyperlink" Id="rId108" Target="https://doi.org/10.1128/mcb.21.5.1874-1887.2001" TargetMode="External" /><Relationship Type="http://schemas.openxmlformats.org/officeDocument/2006/relationships/hyperlink" Id="rId92" Target="https://doi.org/10.1136/jmg.2008.057570" TargetMode="External" /><Relationship Type="http://schemas.openxmlformats.org/officeDocument/2006/relationships/hyperlink" Id="rId152" Target="https://doi.org/10.1158/0008-5472.can-03-3376" TargetMode="External" /><Relationship Type="http://schemas.openxmlformats.org/officeDocument/2006/relationships/hyperlink" Id="rId192" Target="https://doi.org/10.1158/0008-5472.can-05-1650" TargetMode="External" /><Relationship Type="http://schemas.openxmlformats.org/officeDocument/2006/relationships/hyperlink" Id="rId124" Target="https://doi.org/10.1158/0008-5472.can-05-2193" TargetMode="External" /><Relationship Type="http://schemas.openxmlformats.org/officeDocument/2006/relationships/hyperlink" Id="rId120" Target="https://doi.org/10.1158/0008-5472.can-11-0128" TargetMode="External" /><Relationship Type="http://schemas.openxmlformats.org/officeDocument/2006/relationships/hyperlink" Id="rId174" Target="https://doi.org/10.1158/0008-5472.can-14-3701" TargetMode="External" /><Relationship Type="http://schemas.openxmlformats.org/officeDocument/2006/relationships/hyperlink" Id="rId182" Target="https://doi.org/10.1158/1078-0432.ccr-20-1675" TargetMode="External" /><Relationship Type="http://schemas.openxmlformats.org/officeDocument/2006/relationships/hyperlink" Id="rId102" Target="https://doi.org/10.1158/2159-8290.cd-14-0856" TargetMode="External" /><Relationship Type="http://schemas.openxmlformats.org/officeDocument/2006/relationships/hyperlink" Id="rId128" Target="https://doi.org/10.1158/2159-8290.cd-20-1228" TargetMode="External" /><Relationship Type="http://schemas.openxmlformats.org/officeDocument/2006/relationships/hyperlink" Id="rId116" Target="https://doi.org/10.1158/2159-8290.cd-21-1059" TargetMode="External" /><Relationship Type="http://schemas.openxmlformats.org/officeDocument/2006/relationships/hyperlink" Id="rId138" Target="https://doi.org/10.1183/13993003.00359-2016" TargetMode="External" /><Relationship Type="http://schemas.openxmlformats.org/officeDocument/2006/relationships/hyperlink" Id="rId188" Target="https://doi.org/10.14694/edbook_am.2013.33.359" TargetMode="External" /><Relationship Type="http://schemas.openxmlformats.org/officeDocument/2006/relationships/hyperlink" Id="rId176" Target="https://doi.org/10.3322/caac.21654" TargetMode="External" /><Relationship Type="http://schemas.openxmlformats.org/officeDocument/2006/relationships/hyperlink" Id="rId132" Target="https://doi.org/10.3389/fonc.2021.642603" TargetMode="External" /><Relationship Type="http://schemas.openxmlformats.org/officeDocument/2006/relationships/hyperlink" Id="rId166" Target="https://doi.org/10.3390/cancers14051321" TargetMode="External" /><Relationship Type="http://schemas.openxmlformats.org/officeDocument/2006/relationships/hyperlink" Id="rId146" Target="https://doi.org/10.4161/23723548.2014.969651" TargetMode="External" /><Relationship Type="http://schemas.openxmlformats.org/officeDocument/2006/relationships/hyperlink" Id="rId150" Target="https://doi.org/10.5858/arpa.2011-0521-oa" TargetMode="External" /><Relationship Type="http://schemas.openxmlformats.org/officeDocument/2006/relationships/hyperlink" Id="rId184"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5c8aea3d5fbc147f384068723bceba76aa35d4a9"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5c8aea3d5fbc147f384068723bceba76aa35d4a9/" TargetMode="External" /><Relationship Type="http://schemas.openxmlformats.org/officeDocument/2006/relationships/hyperlink" Id="rId33" Target="https://twitter.com/johndoe" TargetMode="External" /><Relationship Type="http://schemas.openxmlformats.org/officeDocument/2006/relationships/hyperlink" Id="rId142" Target="https://www.ncbi.nlm.nih.gov/pubmed/5130083" TargetMode="External" /><Relationship Type="http://schemas.openxmlformats.org/officeDocument/2006/relationships/hyperlink" Id="rId170"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2022-03-18T14:51:45Z</dcterms:created>
  <dcterms:modified xsi:type="dcterms:W3CDTF">2022-03-18T14:51:45Z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2022-03-18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